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86" w:rsidRDefault="00F53886" w:rsidP="00F53886">
      <w:pPr>
        <w:shd w:val="clear" w:color="auto" w:fill="FFFFFF"/>
        <w:jc w:val="center"/>
        <w:rPr>
          <w:sz w:val="16"/>
          <w:szCs w:val="16"/>
        </w:rPr>
      </w:pPr>
      <w:r w:rsidRPr="00145D8B">
        <w:rPr>
          <w:sz w:val="28"/>
          <w:szCs w:val="28"/>
        </w:rPr>
        <w:t>Частые вопросы по оплате труда</w:t>
      </w:r>
      <w:r w:rsidRPr="004C401C">
        <w:rPr>
          <w:sz w:val="16"/>
          <w:szCs w:val="16"/>
        </w:rPr>
        <w:t>:</w:t>
      </w:r>
    </w:p>
    <w:p w:rsidR="00F53886" w:rsidRDefault="00F53886" w:rsidP="00F53886">
      <w:pPr>
        <w:shd w:val="clear" w:color="auto" w:fill="FFFFFF"/>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376"/>
        <w:gridCol w:w="7088"/>
      </w:tblGrid>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ind w:firstLine="709"/>
              <w:jc w:val="both"/>
              <w:rPr>
                <w:rStyle w:val="1"/>
                <w:sz w:val="28"/>
                <w:szCs w:val="28"/>
              </w:rPr>
            </w:pPr>
            <w:r w:rsidRPr="00145D8B">
              <w:rPr>
                <w:rStyle w:val="1"/>
                <w:sz w:val="28"/>
                <w:szCs w:val="28"/>
              </w:rPr>
              <w:t>Вопрос</w:t>
            </w:r>
          </w:p>
        </w:tc>
        <w:tc>
          <w:tcPr>
            <w:tcW w:w="7088" w:type="dxa"/>
            <w:shd w:val="clear" w:color="auto" w:fill="FFFFFF"/>
          </w:tcPr>
          <w:p w:rsidR="00F53886" w:rsidRPr="00145D8B" w:rsidRDefault="00F53886" w:rsidP="00D10C02">
            <w:pPr>
              <w:shd w:val="clear" w:color="auto" w:fill="FFFFFF"/>
              <w:autoSpaceDE w:val="0"/>
              <w:autoSpaceDN w:val="0"/>
              <w:adjustRightInd w:val="0"/>
              <w:ind w:firstLine="709"/>
              <w:jc w:val="both"/>
              <w:rPr>
                <w:rStyle w:val="1"/>
                <w:sz w:val="28"/>
                <w:szCs w:val="28"/>
              </w:rPr>
            </w:pPr>
            <w:r w:rsidRPr="00145D8B">
              <w:rPr>
                <w:rStyle w:val="1"/>
                <w:sz w:val="28"/>
                <w:szCs w:val="28"/>
              </w:rPr>
              <w:t>Ответ</w:t>
            </w: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t xml:space="preserve">Кем осуществляется </w:t>
            </w:r>
            <w:proofErr w:type="gramStart"/>
            <w:r w:rsidRPr="00145D8B">
              <w:rPr>
                <w:rStyle w:val="1"/>
                <w:sz w:val="20"/>
                <w:szCs w:val="20"/>
              </w:rPr>
              <w:t>контроль за</w:t>
            </w:r>
            <w:proofErr w:type="gramEnd"/>
            <w:r w:rsidRPr="00145D8B">
              <w:rPr>
                <w:rStyle w:val="1"/>
                <w:sz w:val="20"/>
                <w:szCs w:val="20"/>
              </w:rPr>
              <w:t xml:space="preserve"> соблюдением МРОТ?</w:t>
            </w:r>
          </w:p>
        </w:tc>
        <w:tc>
          <w:tcPr>
            <w:tcW w:w="7088"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highlight w:val="red"/>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 Статьей 353 ТК РФ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t>Для чего нужна средняя заработная плата и как она исчисляется?</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Порядок исчисления средней заработной платы установлен ст. 139 ТК РФ. Для всех случаев определения размера средней заработной платы (среднего заработка), предусмотренных ТК РФ, устанавливается единый порядок ее исчисления.</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t>За какой объем обязанностей выплачивается должностной оклад?</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Вопрос о том, какой объем обязанностей входит в те должностные обязанности, за выполнение которых выплачивается должностной оклад, определяется в каждом конкретном случае – по учреждению и работнику. </w:t>
            </w:r>
            <w:proofErr w:type="gramStart"/>
            <w:r w:rsidRPr="00145D8B">
              <w:rPr>
                <w:rStyle w:val="1"/>
                <w:sz w:val="20"/>
                <w:szCs w:val="20"/>
              </w:rPr>
              <w:t>Педагогические работники имеют различные виды нагрузки: аудиторную (учебную, преподавательскую) и неаудиторную (методическую, воспитательную, индивидуальную работу с обучающимися, иную педагогическую).</w:t>
            </w:r>
            <w:proofErr w:type="gramEnd"/>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 xml:space="preserve">Соответственно, теоретически ставкой (за которую выплачивается должностной оклад) является выполнение нормы часов педагогической работы за ставку заработной платы, которая установлена Приказом </w:t>
            </w:r>
            <w:proofErr w:type="spellStart"/>
            <w:r w:rsidRPr="00145D8B">
              <w:rPr>
                <w:rStyle w:val="1"/>
                <w:sz w:val="20"/>
                <w:szCs w:val="20"/>
              </w:rPr>
              <w:t>Минобрнауки</w:t>
            </w:r>
            <w:proofErr w:type="spellEnd"/>
            <w:r w:rsidRPr="00145D8B">
              <w:rPr>
                <w:rStyle w:val="1"/>
                <w:sz w:val="20"/>
                <w:szCs w:val="20"/>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sidRPr="00145D8B">
              <w:rPr>
                <w:rStyle w:val="1"/>
                <w:sz w:val="20"/>
                <w:szCs w:val="20"/>
              </w:rPr>
              <w:t xml:space="preserve"> Эта норма может составлять </w:t>
            </w:r>
            <w:r w:rsidRPr="00145D8B">
              <w:rPr>
                <w:rStyle w:val="1"/>
                <w:sz w:val="20"/>
                <w:szCs w:val="20"/>
              </w:rPr>
              <w:lastRenderedPageBreak/>
              <w:t>36 либо менее (в зависимости от занимаемой должности) часов.</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При этом для отдельных категорий педагогически работников устанавливается норма часов не педагогической, а учебной (преподавательской) работы. Такая норма учебной (преподавательской) нагрузки составляет 18 часов (с некоторыми исключениями). Однако это не значит, что рабочее время педагогических работников соответствующих должностей ограничивается исключительно 18-ю часами, а их обязанности сводятся к ведению учебной (преподавательской) работы. Иная педагогическая работа также выполняется данными работниками, однако она не входит в указанную нормируемую часть педагогической нагрузки.</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Нагрузка сверх ставки может осуществляться в двух возможных формах (согласно трудовому законодательству):</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за счет увеличения рабочего времени, когда дополнительные обязанности выполняются работником в течение дополнительного времени, которое он работает сверх основного рабочего времени (совместительство);</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за счет увеличения интенсивности труда, когда дополнительные обязанности выполняются работников в течение основного рабочего времени, однако он работает более интенсивно (совмещение).</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Работа по совместительству предполагает заключение отдельного трудового договора, соответственно, с заработной платой работника. Работа на условиях совмещения предполагает отдельную доплату (в структуре заработной платы) за выполнение дополнительных обязанностей.</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При этом имеется Постановление Минтруда РФ от 30 июня 2003 г. № 41 «Об особенностях работы по совместительству педагогических, медицинских, фармацевтических работников и работников культуры», согласно которому не считаются совместительством и не требуют заключения (оформления) трудового договора определенные виды работ, в том числе «педагогическая работа в одном и том же учреждении начального или среднего профессионального образования, в дошкольном образовательном учреждении, в</w:t>
            </w:r>
            <w:proofErr w:type="gramEnd"/>
            <w:r w:rsidRPr="00145D8B">
              <w:rPr>
                <w:rStyle w:val="1"/>
                <w:sz w:val="20"/>
                <w:szCs w:val="20"/>
              </w:rPr>
              <w:t xml:space="preserve"> образовательном </w:t>
            </w:r>
            <w:proofErr w:type="gramStart"/>
            <w:r w:rsidRPr="00145D8B">
              <w:rPr>
                <w:rStyle w:val="1"/>
                <w:sz w:val="20"/>
                <w:szCs w:val="20"/>
              </w:rPr>
              <w:t>учреждении</w:t>
            </w:r>
            <w:proofErr w:type="gramEnd"/>
            <w:r w:rsidRPr="00145D8B">
              <w:rPr>
                <w:rStyle w:val="1"/>
                <w:sz w:val="20"/>
                <w:szCs w:val="20"/>
              </w:rPr>
              <w:t xml:space="preserve"> общего образования, учреждении дополнительного образования детей и ином детском учреждении с дополнительной оплатой».</w:t>
            </w:r>
          </w:p>
          <w:p w:rsidR="00F53886" w:rsidRPr="00145D8B" w:rsidRDefault="00F53886" w:rsidP="00D10C02">
            <w:pPr>
              <w:shd w:val="clear" w:color="auto" w:fill="FFFFFF"/>
              <w:autoSpaceDE w:val="0"/>
              <w:autoSpaceDN w:val="0"/>
              <w:adjustRightInd w:val="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lastRenderedPageBreak/>
              <w:t>Из чего состоит заработная плата?</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Заработная плата (оплата труда работника) состоит из 3-х частей:</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1. Вознаграждение за труд, размер которого зависит от таких факторов как квалификация работника, сложность, количество, качество и условия выполняемой работы;</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2. </w:t>
            </w:r>
            <w:proofErr w:type="gramStart"/>
            <w:r w:rsidRPr="00145D8B">
              <w:rPr>
                <w:rStyle w:val="1"/>
                <w:sz w:val="20"/>
                <w:szCs w:val="20"/>
              </w:rPr>
              <w:t>Компенсационные выплаты –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proofErr w:type="gramEnd"/>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3. Стимулирующие выплаты – доплаты и надбавки стимулирующего характера, премии и иные поощрительные выплаты.</w:t>
            </w:r>
          </w:p>
          <w:p w:rsidR="00F53886" w:rsidRPr="00145D8B" w:rsidRDefault="00F53886" w:rsidP="00D10C02">
            <w:pPr>
              <w:shd w:val="clear" w:color="auto" w:fill="FFFFFF"/>
              <w:autoSpaceDE w:val="0"/>
              <w:autoSpaceDN w:val="0"/>
              <w:adjustRightInd w:val="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t>Из чего формируется должностной оклад педагогического работника?</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Структура заработной платы определяется на основании трудового законодательства Российской Федерации.</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В структуре заработной платы выделяются три основные части – «базовая» часть, непосредственно вознаграждение за труд в зависимости от сложности, количества, качества труда, компенсационные выплаты, и стимулирующие выплаты. При этом под должностным окладом понимается именно эта «базовая» часть оплаты труда, без учета компенсационных и стимулирующих выплат. В частности, Трудовой кодекс содержит в статье 129 следующие определения.</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 xml:space="preserve">Заработная плата (оплата труда работника) – вознаграждение за труд в зависимости от квалификации работника, сложности, количества, качества и </w:t>
            </w:r>
            <w:r w:rsidRPr="00145D8B">
              <w:rPr>
                <w:rStyle w:val="1"/>
                <w:sz w:val="20"/>
                <w:szCs w:val="20"/>
              </w:rPr>
              <w:lastRenderedPageBreak/>
              <w:t>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145D8B">
              <w:rPr>
                <w:rStyle w:val="1"/>
                <w:sz w:val="20"/>
                <w:szCs w:val="20"/>
              </w:rPr>
              <w:t xml:space="preserve"> надбавки стимулирующего характера, премии и иные поощрительные выплаты).</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Тарифная ставка – фиксированный </w:t>
            </w:r>
            <w:proofErr w:type="gramStart"/>
            <w:r w:rsidRPr="00145D8B">
              <w:rPr>
                <w:rStyle w:val="1"/>
                <w:sz w:val="20"/>
                <w:szCs w:val="20"/>
              </w:rPr>
              <w:t>размер оплаты труда</w:t>
            </w:r>
            <w:proofErr w:type="gramEnd"/>
            <w:r w:rsidRPr="00145D8B">
              <w:rPr>
                <w:rStyle w:val="1"/>
                <w:sz w:val="20"/>
                <w:szCs w:val="20"/>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Оклад (должностной оклад) – фиксированный </w:t>
            </w:r>
            <w:proofErr w:type="gramStart"/>
            <w:r w:rsidRPr="00145D8B">
              <w:rPr>
                <w:rStyle w:val="1"/>
                <w:sz w:val="20"/>
                <w:szCs w:val="20"/>
              </w:rPr>
              <w:t>размер оплаты труда</w:t>
            </w:r>
            <w:proofErr w:type="gramEnd"/>
            <w:r w:rsidRPr="00145D8B">
              <w:rPr>
                <w:rStyle w:val="1"/>
                <w:sz w:val="20"/>
                <w:szCs w:val="2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F53886" w:rsidRPr="00145D8B" w:rsidRDefault="00F53886" w:rsidP="00D10C02">
            <w:pPr>
              <w:shd w:val="clear" w:color="auto" w:fill="FFFFFF"/>
              <w:autoSpaceDE w:val="0"/>
              <w:autoSpaceDN w:val="0"/>
              <w:adjustRightInd w:val="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lastRenderedPageBreak/>
              <w:t>Могу ли я участвовать в формировании системы оплаты труда в организации?</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Каждый работник образовательной организации имеете право участвовать в формировании нормативной правовой базы, регулирующей действующую в организации систему оплаты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Согласно статье 2 Федерального закона Российской Федерации от 12 января 1996 г. № 10-ФЗ «О профессиональных союзах, их правах и гарантиях деятельности» каждый работник, достигший возраста 14 лет,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В соответствии со статьей 11 Федерального закона № 10-ФЗ профсоюзы, их объединения (ассоциации), первичные профсоюзные организации и их органы представляют и защищают права и интересы работников по вопросам индивидуальных трудовых и связанных с трудом отношений.</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Кроме того, согласно статьей 22 Федерального закона № 10-ФЗ установлено, что профсоюзные работники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w:t>
            </w:r>
            <w:proofErr w:type="gramEnd"/>
            <w:r w:rsidRPr="00145D8B">
              <w:rPr>
                <w:rStyle w:val="1"/>
                <w:sz w:val="20"/>
                <w:szCs w:val="20"/>
              </w:rPr>
              <w:t xml:space="preserve"> профсоюзный </w:t>
            </w:r>
            <w:proofErr w:type="gramStart"/>
            <w:r w:rsidRPr="00145D8B">
              <w:rPr>
                <w:rStyle w:val="1"/>
                <w:sz w:val="20"/>
                <w:szCs w:val="20"/>
              </w:rPr>
              <w:t>контроль за</w:t>
            </w:r>
            <w:proofErr w:type="gramEnd"/>
            <w:r w:rsidRPr="00145D8B">
              <w:rPr>
                <w:rStyle w:val="1"/>
                <w:sz w:val="20"/>
                <w:szCs w:val="20"/>
              </w:rPr>
              <w:t xml:space="preserve"> соблюдением законодательства в указанной сфере. И в случаях нарушения законодательства о труде вправе обращаться с заявлениями в защиту их трудовых прав в органы, рассматривающие трудовые споры.</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t>Почему снизился уровень заработной платы. Как повысить уровень зарплаты?</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В соответствии со статьей 144 ТК РФ системы оплаты труда работников государственных, муниципальных учреждений устанавливаются:</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r w:rsidRPr="00145D8B">
              <w:rPr>
                <w:rStyle w:val="1"/>
                <w:b/>
                <w:bCs/>
                <w:sz w:val="20"/>
                <w:szCs w:val="20"/>
              </w:rPr>
              <w:t>, и иными нормативными правовыми актами субъектов Российской Федерации;</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в муниципальных учреждениями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и </w:t>
            </w:r>
            <w:r w:rsidRPr="00145D8B">
              <w:rPr>
                <w:rStyle w:val="1"/>
                <w:b/>
                <w:bCs/>
                <w:sz w:val="20"/>
                <w:szCs w:val="20"/>
              </w:rPr>
              <w:t>нормативными правовыми актами органов местного самоуправления.</w:t>
            </w:r>
            <w:proofErr w:type="gramEnd"/>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lastRenderedPageBreak/>
              <w:t xml:space="preserve">На уровень заработной платы </w:t>
            </w:r>
            <w:proofErr w:type="gramStart"/>
            <w:r w:rsidRPr="00145D8B">
              <w:rPr>
                <w:rStyle w:val="1"/>
                <w:sz w:val="20"/>
                <w:szCs w:val="20"/>
              </w:rPr>
              <w:t>влияют</w:t>
            </w:r>
            <w:proofErr w:type="gramEnd"/>
            <w:r w:rsidRPr="00145D8B">
              <w:rPr>
                <w:rStyle w:val="1"/>
                <w:sz w:val="20"/>
                <w:szCs w:val="20"/>
              </w:rPr>
              <w:t xml:space="preserve"> в том числе выплаты стимулирующего характера (доплаты и надбавки стимулирующего характера, премии и иные поощрительные выплаты), при этом данные выплаты </w:t>
            </w:r>
            <w:r w:rsidRPr="00145D8B">
              <w:rPr>
                <w:rStyle w:val="1"/>
                <w:b/>
                <w:bCs/>
                <w:sz w:val="20"/>
                <w:szCs w:val="20"/>
              </w:rPr>
              <w:t>не являются гарантированными,</w:t>
            </w:r>
            <w:r w:rsidRPr="00145D8B">
              <w:rPr>
                <w:rStyle w:val="1"/>
                <w:sz w:val="20"/>
                <w:szCs w:val="20"/>
              </w:rPr>
              <w:t xml:space="preserve">, определяются работодателем, порядок их назначения устанавливается в нормативных правовых актах, регулирующих оплату труда в организации. Работодатель вправе уменьшить или не начислять стимулирующие выплаты отдельным работникам или всему коллективу на основании проведенной оценки качества результатов их труда, а также в связи с наличием установленных оснований для </w:t>
            </w:r>
            <w:proofErr w:type="spellStart"/>
            <w:r w:rsidRPr="00145D8B">
              <w:rPr>
                <w:rStyle w:val="1"/>
                <w:sz w:val="20"/>
                <w:szCs w:val="20"/>
              </w:rPr>
              <w:t>депремирования</w:t>
            </w:r>
            <w:proofErr w:type="spellEnd"/>
            <w:r w:rsidRPr="00145D8B">
              <w:rPr>
                <w:rStyle w:val="1"/>
                <w:sz w:val="20"/>
                <w:szCs w:val="20"/>
              </w:rPr>
              <w:t>. Вам необходимо внимательно изучить положение о системе оплаты труда, действующее в вашем учреждении, включая регламенты назначения стимулирующих выплат (условия, порядок). За счет достижения установленных в нормативной правовой базе учреждения показателей качества, по итогам решения соответствующего уполномоченного органа (Комиссии по распределению стимулирующих выплат, например) уровень вашей заработной платы может быть выше за счет увеличения стимулирующих выплат.</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При заключении трудового договора работодатель ознакомил Вас с условиями оплаты труда по соответствующей должности. Повышая уровень образования, получая в процессе исполнения обязанностей согласно функционалу, а также в процессе повышения квалификации необходимые компетенции, Вы, можете, при наличии вакансий, претендовать на должности, по которым установленные условия оплаты труда более соответствуют Вашим притязаниям.</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lastRenderedPageBreak/>
              <w:t>Работодатель задерживает выплату заработной платы</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В соответствии со ст. 136 ТК РФ 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 Для отдельных категорий работников федеральным законом могут быть установлены иные сроки выплаты заработной платы.</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Если в вашей организации заработная плата выплачивается 1 раз в месяц, это означает, что Ваш работодатель ежемесячно задерживает выплату части Вашей заработной платы на 15 дней и в соответствии со ст. 236 ТК РФ, он должен нести за это материальную ответственность.</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t>Существует ли ответственность работодателя за невыплату заработной платы?</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145D8B">
              <w:rPr>
                <w:rStyle w:val="1"/>
                <w:sz w:val="20"/>
                <w:szCs w:val="20"/>
              </w:rPr>
              <w:t>сумм</w:t>
            </w:r>
            <w:proofErr w:type="gramEnd"/>
            <w:r w:rsidRPr="00145D8B">
              <w:rPr>
                <w:rStyle w:val="1"/>
                <w:sz w:val="20"/>
                <w:szCs w:val="20"/>
              </w:rP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Законом предусмотрено несколько механизмов защиты работником своих прав от задержек заработной платы:</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1. Приостановка работы (ст. 142 ТК РФ);</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2. Обращение в Государственную инспекцию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3. Денежные требования к работодателю;</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4. Обращение в суд, Судебный приказ;</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5. Уголовная ответственность (ст. 145.1 Уголовного кодекса РФ).</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t>Чем отличаются выплаты стимулирующего характера от выплат компенсационного?</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Размеры заработной платы устанавливаются на основе нормативных правовых актов организации, и в соответствии со статьей 132 Трудового Кодекса Российской Федерации (ТК РФ) зависят от квалификации, сложности выполняемой работы, количества и качества затраченного труда.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Стимулирующие выплаты в отличие от выплат компенсационного характера направлены на стимулирование достижения высоких результатов трудовой деятельности, повышение производительности труда и поощрение работников.</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 xml:space="preserve">В соответствии с пунктом 16 Единых рекомендаций по установлению на </w:t>
            </w:r>
            <w:r w:rsidRPr="00145D8B">
              <w:rPr>
                <w:rStyle w:val="1"/>
                <w:sz w:val="20"/>
                <w:szCs w:val="20"/>
              </w:rPr>
              <w:lastRenderedPageBreak/>
              <w:t>федеральном, региональном и местном уровнях систем оплаты труда работников государственных и муниципальных учреждений на 2016 год (утверждены решением Российской трехсторонней комиссии по регулированию социально-трудовых отношений от 25 декабря 2015 г. № 12) (Единые рекомендации) размеры и условия осуществления выплат стимулирующего характера для всех категорий работников учреждений устанавливаются организацией самостоятельно посредством соглашений</w:t>
            </w:r>
            <w:proofErr w:type="gramEnd"/>
            <w:r w:rsidRPr="00145D8B">
              <w:rPr>
                <w:rStyle w:val="1"/>
                <w:sz w:val="20"/>
                <w:szCs w:val="20"/>
              </w:rPr>
              <w:t>, коллективных договоров, локальных нормативных актов, принимаемых с учетом мнения представительного органа работников на основе формализованных показателей и критериев эффективности работы.</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Работодатель вправе обоснованно не выплатить или снизить размер выплаты стимулирующего характера при наличии у работника дисциплинарного взыскания и (или) нарушения работников Правил внутреннего распорядка.</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Компенсационные выплаты выплачивают за работу в условиях, отклоняющихся </w:t>
            </w:r>
            <w:proofErr w:type="gramStart"/>
            <w:r w:rsidRPr="00145D8B">
              <w:rPr>
                <w:rStyle w:val="1"/>
                <w:sz w:val="20"/>
                <w:szCs w:val="20"/>
              </w:rPr>
              <w:t>от</w:t>
            </w:r>
            <w:proofErr w:type="gramEnd"/>
            <w:r w:rsidRPr="00145D8B">
              <w:rPr>
                <w:rStyle w:val="1"/>
                <w:sz w:val="20"/>
                <w:szCs w:val="20"/>
              </w:rPr>
              <w:t xml:space="preserve"> нормальных. Обязательные компенсационные выплаты прямо предусмотрены существующими нормативными правовыми актами Российской Федерации, вместе с тем в договорном порядке могут быть установлены и иные, дополнительные компенсационные выплаты.</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К обязательным относятся (ст.146 ТК РФ): выплаты за труд работников, занятых на работах с вредными и (или) опасными условиями труда или в местностях с особыми климатическими условиями; за работу в выходные и праздничные дни; за сверхурочную работу и в ночное время; за выполнение обязанностей временно отсутствующего работника без освобождения от основной работы.</w:t>
            </w:r>
            <w:proofErr w:type="gramEnd"/>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roofErr w:type="gramStart"/>
            <w:r w:rsidRPr="00145D8B">
              <w:rPr>
                <w:rStyle w:val="1"/>
                <w:sz w:val="20"/>
                <w:szCs w:val="20"/>
              </w:rPr>
              <w:t>В соответствии с Едиными рекомендациями размеры и условия дополнительных выплат за классное руководство, проверку письменных работ, заведование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в рамках реализации образовательной программы образовательной организации, установленный педагогическим работникам, для которых предусмотрены нормы часов преподавательской (педагогической) работы</w:t>
            </w:r>
            <w:proofErr w:type="gramEnd"/>
            <w:r w:rsidRPr="00145D8B">
              <w:rPr>
                <w:rStyle w:val="1"/>
                <w:sz w:val="20"/>
                <w:szCs w:val="20"/>
              </w:rPr>
              <w:t xml:space="preserve"> в неделю (в год) за ставку заработной платы, устанавливаются в трудовых договорах (дополнительных соглашениях к трудовым договорам) с педагогическими работниками.</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
        </w:tc>
      </w:tr>
      <w:tr w:rsidR="00F53886" w:rsidRPr="00145D8B" w:rsidTr="00D10C02">
        <w:tc>
          <w:tcPr>
            <w:tcW w:w="2376" w:type="dxa"/>
            <w:shd w:val="clear" w:color="auto" w:fill="FFFFFF"/>
          </w:tcPr>
          <w:p w:rsidR="00F53886" w:rsidRPr="00145D8B" w:rsidRDefault="00F53886" w:rsidP="00D10C02">
            <w:pPr>
              <w:shd w:val="clear" w:color="auto" w:fill="FFFFFF"/>
              <w:autoSpaceDE w:val="0"/>
              <w:autoSpaceDN w:val="0"/>
              <w:adjustRightInd w:val="0"/>
              <w:jc w:val="both"/>
              <w:rPr>
                <w:rStyle w:val="1"/>
                <w:sz w:val="20"/>
                <w:szCs w:val="20"/>
              </w:rPr>
            </w:pPr>
            <w:r w:rsidRPr="00145D8B">
              <w:rPr>
                <w:rStyle w:val="1"/>
                <w:sz w:val="20"/>
                <w:szCs w:val="20"/>
              </w:rPr>
              <w:lastRenderedPageBreak/>
              <w:t xml:space="preserve">Что такое минимальный </w:t>
            </w:r>
            <w:proofErr w:type="gramStart"/>
            <w:r w:rsidRPr="00145D8B">
              <w:rPr>
                <w:rStyle w:val="1"/>
                <w:sz w:val="20"/>
                <w:szCs w:val="20"/>
              </w:rPr>
              <w:t>размер оплаты труда</w:t>
            </w:r>
            <w:proofErr w:type="gramEnd"/>
            <w:r w:rsidRPr="00145D8B">
              <w:rPr>
                <w:rStyle w:val="1"/>
                <w:sz w:val="20"/>
                <w:szCs w:val="20"/>
              </w:rPr>
              <w:t xml:space="preserve"> (МРОТ)?</w:t>
            </w:r>
          </w:p>
        </w:tc>
        <w:tc>
          <w:tcPr>
            <w:tcW w:w="7088" w:type="dxa"/>
            <w:shd w:val="clear" w:color="auto" w:fill="FFFFFF"/>
          </w:tcPr>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Размер МРОТ регулируется Федеральным законом от 19 июня 2000 г. № 82-ФЗ «О минимальном </w:t>
            </w:r>
            <w:proofErr w:type="gramStart"/>
            <w:r w:rsidRPr="00145D8B">
              <w:rPr>
                <w:rStyle w:val="1"/>
                <w:sz w:val="20"/>
                <w:szCs w:val="20"/>
              </w:rPr>
              <w:t>размере оплаты труда</w:t>
            </w:r>
            <w:proofErr w:type="gramEnd"/>
            <w:r w:rsidRPr="00145D8B">
              <w:rPr>
                <w:rStyle w:val="1"/>
                <w:sz w:val="20"/>
                <w:szCs w:val="20"/>
              </w:rPr>
              <w:t>», а также статьей 133 ТК Российской Федерации, которой устанавливается федеральный и региональный уровень.</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 xml:space="preserve">МРОТ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 Применение минимального </w:t>
            </w:r>
            <w:proofErr w:type="gramStart"/>
            <w:r w:rsidRPr="00145D8B">
              <w:rPr>
                <w:rStyle w:val="1"/>
                <w:sz w:val="20"/>
                <w:szCs w:val="20"/>
              </w:rPr>
              <w:t>размера оплаты труда</w:t>
            </w:r>
            <w:proofErr w:type="gramEnd"/>
            <w:r w:rsidRPr="00145D8B">
              <w:rPr>
                <w:rStyle w:val="1"/>
                <w:sz w:val="20"/>
                <w:szCs w:val="20"/>
              </w:rPr>
              <w:t xml:space="preserve"> для других целей не допускается.</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МРОТ устанавливается одновременно на всей территории Российской Федерации и не может быть ниже величины прожиточного минимума трудоспособного населения.</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Прожиточный минимум – стоимостная оценка потребительской корзины, а также обязательные платежи и сборы, устанавливается в соответствии с Федеральным законом от 24 октября 1997 г. № 134-ФЗ «О прожиточном минимуме в Российской Федерации».</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r w:rsidRPr="00145D8B">
              <w:rPr>
                <w:rStyle w:val="1"/>
                <w:sz w:val="20"/>
                <w:szCs w:val="20"/>
              </w:rPr>
              <w:t>Статьей 4 указанного закона предусмотрено, что его величина в целом по Российской Федерации определяется Правительством РФ ежеквартально 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 непродовольственные товары и услуги и расходов по обязательным платежам и сборам.</w:t>
            </w:r>
          </w:p>
          <w:p w:rsidR="00F53886" w:rsidRPr="00145D8B" w:rsidRDefault="00F53886" w:rsidP="00D10C02">
            <w:pPr>
              <w:pStyle w:val="a3"/>
              <w:shd w:val="clear" w:color="auto" w:fill="FFFFFF"/>
              <w:autoSpaceDE w:val="0"/>
              <w:autoSpaceDN w:val="0"/>
              <w:adjustRightInd w:val="0"/>
              <w:spacing w:before="0" w:beforeAutospacing="0" w:after="0" w:afterAutospacing="0"/>
              <w:jc w:val="both"/>
              <w:rPr>
                <w:rStyle w:val="1"/>
                <w:sz w:val="20"/>
                <w:szCs w:val="20"/>
              </w:rPr>
            </w:pPr>
          </w:p>
        </w:tc>
      </w:tr>
    </w:tbl>
    <w:p w:rsidR="00F53886" w:rsidRDefault="00F53886" w:rsidP="00F53886">
      <w:pPr>
        <w:shd w:val="clear" w:color="auto" w:fill="FFFFFF"/>
        <w:rPr>
          <w:sz w:val="16"/>
          <w:szCs w:val="16"/>
        </w:rPr>
      </w:pPr>
    </w:p>
    <w:p w:rsidR="00000000" w:rsidRDefault="00F53886"/>
    <w:sectPr w:rsidR="00000000" w:rsidSect="00F5388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3886"/>
    <w:rsid w:val="00F53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F53886"/>
    <w:rPr>
      <w:color w:val="000000"/>
      <w:w w:val="100"/>
      <w:position w:val="0"/>
      <w:sz w:val="26"/>
      <w:szCs w:val="26"/>
      <w:lang w:val="ru-RU" w:bidi="ar-SA"/>
    </w:rPr>
  </w:style>
  <w:style w:type="paragraph" w:styleId="a3">
    <w:name w:val="Normal (Web)"/>
    <w:basedOn w:val="a"/>
    <w:uiPriority w:val="99"/>
    <w:unhideWhenUsed/>
    <w:rsid w:val="00F53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2932</Words>
  <Characters>16716</Characters>
  <Application>Microsoft Office Word</Application>
  <DocSecurity>0</DocSecurity>
  <Lines>139</Lines>
  <Paragraphs>39</Paragraphs>
  <ScaleCrop>false</ScaleCrop>
  <Company>SPecialiST RePack</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2019-02-26T03:43:00Z</dcterms:created>
  <dcterms:modified xsi:type="dcterms:W3CDTF">2019-02-26T03:43:00Z</dcterms:modified>
</cp:coreProperties>
</file>